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F13939" w:rsidRPr="00F13939" w14:paraId="312E9718" w14:textId="77777777" w:rsidTr="00380860">
        <w:tc>
          <w:tcPr>
            <w:tcW w:w="10201" w:type="dxa"/>
            <w:shd w:val="clear" w:color="auto" w:fill="41C0F0"/>
            <w:vAlign w:val="center"/>
          </w:tcPr>
          <w:p w14:paraId="1FEF0F67" w14:textId="1BA2DEC9" w:rsidR="00380860" w:rsidRPr="00380860" w:rsidRDefault="00F13939" w:rsidP="00003997">
            <w:pPr>
              <w:tabs>
                <w:tab w:val="left" w:pos="8189"/>
              </w:tabs>
              <w:spacing w:before="120" w:after="120"/>
              <w:ind w:left="34"/>
              <w:rPr>
                <w:rFonts w:ascii="Segoe UI" w:hAnsi="Segoe UI" w:cs="Segoe UI"/>
                <w:color w:val="FFFFFF" w:themeColor="background1"/>
                <w:sz w:val="28"/>
                <w:szCs w:val="28"/>
              </w:rPr>
            </w:pPr>
            <w:r w:rsidRPr="00380860">
              <w:rPr>
                <w:rFonts w:ascii="Segoe UI" w:hAnsi="Segoe UI" w:cs="Segoe UI"/>
                <w:b/>
                <w:bCs/>
                <w:color w:val="FFFFFF" w:themeColor="background1"/>
                <w:sz w:val="28"/>
                <w:szCs w:val="28"/>
              </w:rPr>
              <w:t>Our Hospital Project</w:t>
            </w:r>
            <w:r w:rsidRPr="00380860">
              <w:rPr>
                <w:rFonts w:ascii="Segoe UI" w:hAnsi="Segoe UI" w:cs="Segoe UI"/>
                <w:color w:val="FFFFFF" w:themeColor="background1"/>
                <w:sz w:val="28"/>
                <w:szCs w:val="28"/>
              </w:rPr>
              <w:t xml:space="preserve"> | Apprenticeship Level </w:t>
            </w:r>
            <w:r w:rsidR="008E50D9">
              <w:rPr>
                <w:rFonts w:ascii="Segoe UI" w:hAnsi="Segoe UI" w:cs="Segoe UI"/>
                <w:color w:val="FFFFFF" w:themeColor="background1"/>
                <w:sz w:val="28"/>
                <w:szCs w:val="28"/>
              </w:rPr>
              <w:t>6</w:t>
            </w:r>
            <w:r w:rsidR="00003997">
              <w:rPr>
                <w:rFonts w:ascii="Segoe UI" w:hAnsi="Segoe UI" w:cs="Segoe UI"/>
                <w:color w:val="FFFFFF" w:themeColor="background1"/>
                <w:sz w:val="28"/>
                <w:szCs w:val="28"/>
              </w:rPr>
              <w:t xml:space="preserve"> - </w:t>
            </w:r>
            <w:r w:rsidR="008E50D9">
              <w:rPr>
                <w:rFonts w:ascii="Segoe UI" w:hAnsi="Segoe UI" w:cs="Segoe UI"/>
                <w:color w:val="FFFFFF" w:themeColor="background1"/>
                <w:sz w:val="28"/>
                <w:szCs w:val="28"/>
              </w:rPr>
              <w:t>Bursary</w:t>
            </w:r>
          </w:p>
        </w:tc>
      </w:tr>
    </w:tbl>
    <w:p w14:paraId="288F0A83" w14:textId="4583C797" w:rsidR="008E50D9" w:rsidRPr="008E50D9" w:rsidRDefault="00FD609B" w:rsidP="008E50D9">
      <w:pPr>
        <w:tabs>
          <w:tab w:val="left" w:pos="8189"/>
        </w:tabs>
        <w:rPr>
          <w:rFonts w:ascii="Segoe UI" w:hAnsi="Segoe UI" w:cs="Segoe UI"/>
          <w:b/>
          <w:bCs/>
          <w:color w:val="2F5496" w:themeColor="accent1" w:themeShade="BF"/>
          <w:sz w:val="20"/>
          <w:szCs w:val="20"/>
        </w:rPr>
      </w:pPr>
      <w:r w:rsidRPr="00F13939">
        <w:rPr>
          <w:rFonts w:ascii="Segoe UI" w:hAnsi="Segoe UI" w:cs="Segoe UI"/>
          <w:b/>
          <w:bCs/>
          <w:color w:val="0070C0"/>
          <w:sz w:val="28"/>
          <w:szCs w:val="28"/>
        </w:rPr>
        <w:br/>
      </w:r>
      <w:r w:rsidR="008E50D9" w:rsidRPr="008E50D9">
        <w:rPr>
          <w:rFonts w:ascii="Segoe UI" w:hAnsi="Segoe UI" w:cs="Segoe UI"/>
          <w:b/>
          <w:bCs/>
          <w:color w:val="2F5496" w:themeColor="accent1" w:themeShade="BF"/>
          <w:sz w:val="20"/>
          <w:szCs w:val="20"/>
        </w:rPr>
        <w:t>Level 6 Higher OHP Apprenticeship Programme</w:t>
      </w:r>
    </w:p>
    <w:p w14:paraId="2F3EE942" w14:textId="77777777" w:rsidR="008E50D9" w:rsidRPr="008E50D9" w:rsidRDefault="008E50D9" w:rsidP="008E50D9">
      <w:pPr>
        <w:tabs>
          <w:tab w:val="left" w:pos="8189"/>
        </w:tabs>
        <w:rPr>
          <w:rFonts w:ascii="Segoe UI" w:hAnsi="Segoe UI" w:cs="Segoe UI"/>
          <w:sz w:val="20"/>
          <w:szCs w:val="20"/>
        </w:rPr>
      </w:pPr>
      <w:r w:rsidRPr="008E50D9">
        <w:rPr>
          <w:rFonts w:ascii="Segoe UI" w:hAnsi="Segoe UI" w:cs="Segoe UI"/>
          <w:sz w:val="20"/>
          <w:szCs w:val="20"/>
        </w:rPr>
        <w:t xml:space="preserve">We have introduced a bursary for students that are looking to study a Construction and the Built Environment related degree at university. The bursary, which is now open for applications, has been developed by the OHP to and increase the island’s construction and built environment skilled workforce. This is a landmark project for Jersey’s and will grow construction and built environment skills right across the island, which is why we are delighted to offer the bursary scheme. </w:t>
      </w:r>
    </w:p>
    <w:p w14:paraId="30C7A18D" w14:textId="77777777" w:rsidR="008E50D9" w:rsidRPr="008E50D9" w:rsidRDefault="008E50D9" w:rsidP="008E50D9">
      <w:pPr>
        <w:tabs>
          <w:tab w:val="left" w:pos="8189"/>
        </w:tabs>
        <w:rPr>
          <w:rFonts w:ascii="Segoe UI" w:hAnsi="Segoe UI" w:cs="Segoe UI"/>
          <w:sz w:val="20"/>
          <w:szCs w:val="20"/>
        </w:rPr>
      </w:pPr>
      <w:r w:rsidRPr="008E50D9">
        <w:rPr>
          <w:rFonts w:ascii="Segoe UI" w:hAnsi="Segoe UI" w:cs="Segoe UI"/>
          <w:sz w:val="20"/>
          <w:szCs w:val="20"/>
        </w:rPr>
        <w:t xml:space="preserve">The new bursary complements the OHP existing Apprenticeship scheme offers a two-year paid employment programme offering school and college leavers the opportunity to gain practical training, an internationally recognised qualification and a high-quality experience that will lead to an exciting and challenging career. </w:t>
      </w:r>
    </w:p>
    <w:p w14:paraId="4E695950" w14:textId="77777777" w:rsidR="008E50D9" w:rsidRPr="008E50D9" w:rsidRDefault="008E50D9" w:rsidP="008E50D9">
      <w:pPr>
        <w:tabs>
          <w:tab w:val="left" w:pos="8189"/>
        </w:tabs>
        <w:rPr>
          <w:rFonts w:ascii="Segoe UI" w:hAnsi="Segoe UI" w:cs="Segoe UI"/>
          <w:b/>
          <w:bCs/>
          <w:color w:val="2F5496" w:themeColor="accent1" w:themeShade="BF"/>
          <w:sz w:val="20"/>
          <w:szCs w:val="20"/>
        </w:rPr>
      </w:pPr>
      <w:r w:rsidRPr="008E50D9">
        <w:rPr>
          <w:rFonts w:ascii="Segoe UI" w:hAnsi="Segoe UI" w:cs="Segoe UI"/>
          <w:b/>
          <w:bCs/>
          <w:color w:val="2F5496" w:themeColor="accent1" w:themeShade="BF"/>
          <w:sz w:val="20"/>
          <w:szCs w:val="20"/>
        </w:rPr>
        <w:t xml:space="preserve">Who is the bursary for? </w:t>
      </w:r>
    </w:p>
    <w:p w14:paraId="3A9431E5" w14:textId="77777777" w:rsidR="008E50D9" w:rsidRPr="008E50D9" w:rsidRDefault="008E50D9" w:rsidP="008E50D9">
      <w:pPr>
        <w:tabs>
          <w:tab w:val="left" w:pos="8189"/>
        </w:tabs>
        <w:rPr>
          <w:rFonts w:ascii="Segoe UI" w:hAnsi="Segoe UI" w:cs="Segoe UI"/>
          <w:sz w:val="20"/>
          <w:szCs w:val="20"/>
        </w:rPr>
      </w:pPr>
      <w:r w:rsidRPr="008E50D9">
        <w:rPr>
          <w:rFonts w:ascii="Segoe UI" w:hAnsi="Segoe UI" w:cs="Segoe UI"/>
          <w:sz w:val="20"/>
          <w:szCs w:val="20"/>
        </w:rPr>
        <w:t xml:space="preserve">This bursary aims to inspire students to consider the great opportunities available through studying a construction and built environment subject at university. </w:t>
      </w:r>
    </w:p>
    <w:p w14:paraId="72EEA77F" w14:textId="77777777" w:rsidR="008E50D9" w:rsidRPr="008E50D9" w:rsidRDefault="008E50D9" w:rsidP="008E50D9">
      <w:pPr>
        <w:tabs>
          <w:tab w:val="left" w:pos="8189"/>
        </w:tabs>
        <w:rPr>
          <w:rFonts w:ascii="Segoe UI" w:hAnsi="Segoe UI" w:cs="Segoe UI"/>
          <w:b/>
          <w:bCs/>
          <w:color w:val="2F5496" w:themeColor="accent1" w:themeShade="BF"/>
          <w:sz w:val="20"/>
          <w:szCs w:val="20"/>
        </w:rPr>
      </w:pPr>
      <w:r w:rsidRPr="008E50D9">
        <w:rPr>
          <w:rFonts w:ascii="Segoe UI" w:hAnsi="Segoe UI" w:cs="Segoe UI"/>
          <w:b/>
          <w:bCs/>
          <w:color w:val="2F5496" w:themeColor="accent1" w:themeShade="BF"/>
          <w:sz w:val="20"/>
          <w:szCs w:val="20"/>
        </w:rPr>
        <w:t xml:space="preserve">How is the bursary assessed? </w:t>
      </w:r>
    </w:p>
    <w:p w14:paraId="73BDBD49" w14:textId="489C9F55" w:rsidR="00A9230D" w:rsidRPr="00003997" w:rsidRDefault="008E50D9" w:rsidP="008E50D9">
      <w:pPr>
        <w:tabs>
          <w:tab w:val="left" w:pos="8189"/>
        </w:tabs>
        <w:rPr>
          <w:rFonts w:ascii="Segoe UI" w:hAnsi="Segoe UI" w:cs="Segoe UI"/>
          <w:sz w:val="20"/>
          <w:szCs w:val="20"/>
        </w:rPr>
      </w:pPr>
      <w:r w:rsidRPr="008E50D9">
        <w:rPr>
          <w:rFonts w:ascii="Segoe UI" w:hAnsi="Segoe UI" w:cs="Segoe UI"/>
          <w:sz w:val="20"/>
          <w:szCs w:val="20"/>
        </w:rPr>
        <w:t xml:space="preserve">One local student will be selected and will receive £2,000 a year to support their studies over a three-year degree. Additionally, the student will undertake six weeks’ paid work experience at the OHP every year throughout the bursary as well as receiving ongoing support from mentors in senior positions at the OHP. </w:t>
      </w:r>
      <w:r w:rsidR="00003997" w:rsidRPr="00003997">
        <w:rPr>
          <w:rFonts w:ascii="Segoe UI" w:hAnsi="Segoe UI" w:cs="Segoe UI"/>
          <w:sz w:val="20"/>
          <w:szCs w:val="20"/>
        </w:rPr>
        <w:t>Level 3 BTEC Diploma in Construction and the Built Environment</w:t>
      </w:r>
      <w:r w:rsidR="00A9230D">
        <w:rPr>
          <w:rFonts w:ascii="Segoe UI" w:hAnsi="Segoe UI" w:cs="Segoe UI"/>
          <w:sz w:val="20"/>
          <w:szCs w:val="20"/>
        </w:rPr>
        <w:t xml:space="preserve"> </w:t>
      </w:r>
      <w:r w:rsidR="00A9230D" w:rsidRPr="00003997">
        <w:rPr>
          <w:rFonts w:ascii="Segoe UI" w:hAnsi="Segoe UI" w:cs="Segoe UI"/>
          <w:sz w:val="20"/>
          <w:szCs w:val="20"/>
        </w:rPr>
        <w:t>(1.5 ‘A’ Level equivalent - 90 Credit) </w:t>
      </w:r>
    </w:p>
    <w:p w14:paraId="35791A40" w14:textId="2E303880" w:rsidR="00765F76" w:rsidRDefault="00262330" w:rsidP="00490EB3">
      <w:pPr>
        <w:tabs>
          <w:tab w:val="left" w:pos="8189"/>
        </w:tabs>
        <w:rPr>
          <w:rStyle w:val="Hyperlink"/>
          <w:rFonts w:ascii="Segoe UI" w:hAnsi="Segoe UI" w:cs="Segoe UI"/>
          <w:sz w:val="20"/>
          <w:szCs w:val="20"/>
        </w:rPr>
      </w:pPr>
      <w:r>
        <w:rPr>
          <w:rFonts w:ascii="Segoe UI" w:hAnsi="Segoe UI" w:cs="Segoe UI"/>
          <w:noProof/>
          <w:sz w:val="20"/>
          <w:szCs w:val="20"/>
        </w:rPr>
        <w:drawing>
          <wp:anchor distT="0" distB="0" distL="114300" distR="114300" simplePos="0" relativeHeight="251658240" behindDoc="0" locked="0" layoutInCell="1" allowOverlap="1" wp14:anchorId="6822FEDC" wp14:editId="6030A6E6">
            <wp:simplePos x="0" y="0"/>
            <wp:positionH relativeFrom="column">
              <wp:posOffset>-49282</wp:posOffset>
            </wp:positionH>
            <wp:positionV relativeFrom="paragraph">
              <wp:posOffset>187959</wp:posOffset>
            </wp:positionV>
            <wp:extent cx="6626905" cy="3516923"/>
            <wp:effectExtent l="0" t="0" r="2540" b="762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t="62495"/>
                    <a:stretch/>
                  </pic:blipFill>
                  <pic:spPr bwMode="auto">
                    <a:xfrm>
                      <a:off x="0" y="0"/>
                      <a:ext cx="6656544" cy="3532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65F76" w:rsidSect="00F13939">
      <w:headerReference w:type="default" r:id="rId11"/>
      <w:footerReference w:type="default" r:id="rId12"/>
      <w:type w:val="continuous"/>
      <w:pgSz w:w="11906" w:h="16838"/>
      <w:pgMar w:top="1440" w:right="707" w:bottom="851" w:left="1080" w:header="284"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0735" w14:textId="77777777" w:rsidR="005C6103" w:rsidRDefault="005C6103" w:rsidP="00AD16BB">
      <w:pPr>
        <w:spacing w:after="0" w:line="240" w:lineRule="auto"/>
      </w:pPr>
      <w:r>
        <w:separator/>
      </w:r>
    </w:p>
  </w:endnote>
  <w:endnote w:type="continuationSeparator" w:id="0">
    <w:p w14:paraId="3451B91D" w14:textId="77777777" w:rsidR="005C6103" w:rsidRDefault="005C6103" w:rsidP="00AD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E44" w14:textId="4ED7827F" w:rsidR="009C5F8B" w:rsidRPr="00941F60" w:rsidRDefault="00941F60" w:rsidP="00941F60">
    <w:pPr>
      <w:pStyle w:val="Footer"/>
      <w:pBdr>
        <w:top w:val="single" w:sz="4" w:space="1" w:color="auto"/>
      </w:pBdr>
      <w:jc w:val="right"/>
      <w:rPr>
        <w:color w:val="0070C0"/>
      </w:rPr>
    </w:pPr>
    <w:r>
      <w:rPr>
        <w:b/>
        <w:bCs/>
        <w:color w:val="0070C0"/>
      </w:rPr>
      <w:br/>
    </w:r>
    <w:r w:rsidR="00490EB3" w:rsidRPr="00941F60">
      <w:rPr>
        <w:b/>
        <w:bCs/>
        <w:color w:val="0070C0"/>
      </w:rPr>
      <w:t>Our Hospital Project</w:t>
    </w:r>
    <w:r w:rsidR="00490EB3" w:rsidRPr="00941F60">
      <w:rPr>
        <w:color w:val="0070C0"/>
      </w:rPr>
      <w:t xml:space="preserve"> | </w:t>
    </w:r>
    <w:r w:rsidRPr="00941F60">
      <w:rPr>
        <w:color w:val="0070C0"/>
      </w:rPr>
      <w:t>Built Environment Apprenticeship</w:t>
    </w:r>
    <w:r w:rsidR="00F13939">
      <w:rPr>
        <w:color w:val="0070C0"/>
      </w:rPr>
      <w:t xml:space="preserve"> Programme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AD7E" w14:textId="77777777" w:rsidR="005C6103" w:rsidRDefault="005C6103" w:rsidP="00AD16BB">
      <w:pPr>
        <w:spacing w:after="0" w:line="240" w:lineRule="auto"/>
      </w:pPr>
      <w:r>
        <w:separator/>
      </w:r>
    </w:p>
  </w:footnote>
  <w:footnote w:type="continuationSeparator" w:id="0">
    <w:p w14:paraId="2BEC90E3" w14:textId="77777777" w:rsidR="005C6103" w:rsidRDefault="005C6103" w:rsidP="00AD1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E2B8" w14:textId="29A572DC" w:rsidR="00AD16BB" w:rsidRDefault="00AD16BB" w:rsidP="00F13939">
    <w:pPr>
      <w:pStyle w:val="Header"/>
      <w:ind w:right="-229"/>
      <w:jc w:val="right"/>
    </w:pPr>
    <w:r w:rsidRPr="00AD16BB">
      <w:rPr>
        <w:rFonts w:cstheme="minorHAnsi"/>
        <w:noProof/>
        <w:sz w:val="20"/>
        <w:szCs w:val="20"/>
      </w:rPr>
      <w:drawing>
        <wp:inline distT="0" distB="0" distL="0" distR="0" wp14:anchorId="4FBF02C7" wp14:editId="7A0FFB5D">
          <wp:extent cx="2160000" cy="664875"/>
          <wp:effectExtent l="0" t="0" r="0" b="1905"/>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64875"/>
                  </a:xfrm>
                  <a:prstGeom prst="rect">
                    <a:avLst/>
                  </a:prstGeom>
                </pic:spPr>
              </pic:pic>
            </a:graphicData>
          </a:graphic>
        </wp:inline>
      </w:drawing>
    </w:r>
  </w:p>
  <w:p w14:paraId="4B341C11" w14:textId="77777777" w:rsidR="00AD16BB" w:rsidRDefault="00AD16BB" w:rsidP="00AD16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478"/>
    <w:multiLevelType w:val="hybridMultilevel"/>
    <w:tmpl w:val="16A03D20"/>
    <w:lvl w:ilvl="0" w:tplc="696A9914">
      <w:start w:val="1"/>
      <w:numFmt w:val="bullet"/>
      <w:lvlText w:val=""/>
      <w:lvlJc w:val="left"/>
      <w:pPr>
        <w:ind w:left="720" w:hanging="360"/>
      </w:pPr>
      <w:rPr>
        <w:rFonts w:ascii="Symbol" w:hAnsi="Symbol" w:hint="default"/>
        <w:color w:val="41C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62740"/>
    <w:multiLevelType w:val="multilevel"/>
    <w:tmpl w:val="C11CD364"/>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43527"/>
    <w:multiLevelType w:val="multilevel"/>
    <w:tmpl w:val="F83A4AEA"/>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45036"/>
    <w:multiLevelType w:val="multilevel"/>
    <w:tmpl w:val="1F1AA730"/>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E33C9"/>
    <w:multiLevelType w:val="multilevel"/>
    <w:tmpl w:val="F5FC6D3A"/>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D6948"/>
    <w:multiLevelType w:val="multilevel"/>
    <w:tmpl w:val="9CA85472"/>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64FE9"/>
    <w:multiLevelType w:val="multilevel"/>
    <w:tmpl w:val="E44CBE62"/>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4E08A9"/>
    <w:multiLevelType w:val="hybridMultilevel"/>
    <w:tmpl w:val="E260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00250"/>
    <w:multiLevelType w:val="hybridMultilevel"/>
    <w:tmpl w:val="F566FF28"/>
    <w:lvl w:ilvl="0" w:tplc="9C54AE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177C"/>
    <w:multiLevelType w:val="multilevel"/>
    <w:tmpl w:val="ED06AB9C"/>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CE21A5"/>
    <w:multiLevelType w:val="multilevel"/>
    <w:tmpl w:val="19C628B8"/>
    <w:lvl w:ilvl="0">
      <w:start w:val="1"/>
      <w:numFmt w:val="bullet"/>
      <w:lvlText w:val=""/>
      <w:lvlJc w:val="left"/>
      <w:pPr>
        <w:tabs>
          <w:tab w:val="num" w:pos="720"/>
        </w:tabs>
        <w:ind w:left="720" w:hanging="360"/>
      </w:pPr>
      <w:rPr>
        <w:rFonts w:ascii="Symbol" w:hAnsi="Symbol" w:hint="default"/>
        <w:color w:val="8EAADB" w:themeColor="accent1"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3"/>
  </w:num>
  <w:num w:numId="5">
    <w:abstractNumId w:val="1"/>
  </w:num>
  <w:num w:numId="6">
    <w:abstractNumId w:val="5"/>
  </w:num>
  <w:num w:numId="7">
    <w:abstractNumId w:val="6"/>
  </w:num>
  <w:num w:numId="8">
    <w:abstractNumId w:val="1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90"/>
    <w:rsid w:val="000003FD"/>
    <w:rsid w:val="00003997"/>
    <w:rsid w:val="000072E2"/>
    <w:rsid w:val="000161EB"/>
    <w:rsid w:val="00030064"/>
    <w:rsid w:val="000308C6"/>
    <w:rsid w:val="00034F50"/>
    <w:rsid w:val="00045F09"/>
    <w:rsid w:val="00097B85"/>
    <w:rsid w:val="000A3015"/>
    <w:rsid w:val="000C1F91"/>
    <w:rsid w:val="000D0F8D"/>
    <w:rsid w:val="000D2524"/>
    <w:rsid w:val="001020B0"/>
    <w:rsid w:val="00116286"/>
    <w:rsid w:val="0012119D"/>
    <w:rsid w:val="001219E7"/>
    <w:rsid w:val="00134AE3"/>
    <w:rsid w:val="00171ECF"/>
    <w:rsid w:val="00174A1E"/>
    <w:rsid w:val="001751BB"/>
    <w:rsid w:val="00193A01"/>
    <w:rsid w:val="001B2839"/>
    <w:rsid w:val="001C17BF"/>
    <w:rsid w:val="001C45DD"/>
    <w:rsid w:val="001D0FD9"/>
    <w:rsid w:val="001E0911"/>
    <w:rsid w:val="001E5413"/>
    <w:rsid w:val="001E5617"/>
    <w:rsid w:val="001F5FF9"/>
    <w:rsid w:val="00200450"/>
    <w:rsid w:val="00201427"/>
    <w:rsid w:val="00206EE3"/>
    <w:rsid w:val="00221832"/>
    <w:rsid w:val="002374F5"/>
    <w:rsid w:val="00242A40"/>
    <w:rsid w:val="00262330"/>
    <w:rsid w:val="00270430"/>
    <w:rsid w:val="0028651E"/>
    <w:rsid w:val="002A15B0"/>
    <w:rsid w:val="002B3858"/>
    <w:rsid w:val="002B5566"/>
    <w:rsid w:val="002E24FD"/>
    <w:rsid w:val="002E4D0D"/>
    <w:rsid w:val="00305784"/>
    <w:rsid w:val="00305E95"/>
    <w:rsid w:val="0031660F"/>
    <w:rsid w:val="00317421"/>
    <w:rsid w:val="003321AE"/>
    <w:rsid w:val="00341A56"/>
    <w:rsid w:val="00346CBE"/>
    <w:rsid w:val="00361BAA"/>
    <w:rsid w:val="00375AE9"/>
    <w:rsid w:val="003806D0"/>
    <w:rsid w:val="00380860"/>
    <w:rsid w:val="0039731D"/>
    <w:rsid w:val="003A04F5"/>
    <w:rsid w:val="003C2257"/>
    <w:rsid w:val="00405596"/>
    <w:rsid w:val="00427965"/>
    <w:rsid w:val="00446756"/>
    <w:rsid w:val="00447DF5"/>
    <w:rsid w:val="004633BB"/>
    <w:rsid w:val="00472D7B"/>
    <w:rsid w:val="004739F8"/>
    <w:rsid w:val="0047562A"/>
    <w:rsid w:val="0048635A"/>
    <w:rsid w:val="00490EB3"/>
    <w:rsid w:val="00496B86"/>
    <w:rsid w:val="0049772D"/>
    <w:rsid w:val="004B6922"/>
    <w:rsid w:val="004E23FC"/>
    <w:rsid w:val="004E6ABF"/>
    <w:rsid w:val="00516A88"/>
    <w:rsid w:val="00545B7E"/>
    <w:rsid w:val="00553C7D"/>
    <w:rsid w:val="00590C8B"/>
    <w:rsid w:val="005916CF"/>
    <w:rsid w:val="00591893"/>
    <w:rsid w:val="005924B8"/>
    <w:rsid w:val="00597D4A"/>
    <w:rsid w:val="005C2D11"/>
    <w:rsid w:val="005C6103"/>
    <w:rsid w:val="005C7103"/>
    <w:rsid w:val="005D0F63"/>
    <w:rsid w:val="005D316D"/>
    <w:rsid w:val="005F302F"/>
    <w:rsid w:val="00607A7F"/>
    <w:rsid w:val="00610876"/>
    <w:rsid w:val="00613B4B"/>
    <w:rsid w:val="0068474D"/>
    <w:rsid w:val="006873E0"/>
    <w:rsid w:val="0069785A"/>
    <w:rsid w:val="006C624D"/>
    <w:rsid w:val="006D4C2C"/>
    <w:rsid w:val="006D63F1"/>
    <w:rsid w:val="006D7001"/>
    <w:rsid w:val="00721074"/>
    <w:rsid w:val="0074425E"/>
    <w:rsid w:val="00765F76"/>
    <w:rsid w:val="00770F74"/>
    <w:rsid w:val="007A1735"/>
    <w:rsid w:val="007B607E"/>
    <w:rsid w:val="007C4B13"/>
    <w:rsid w:val="007D2B5F"/>
    <w:rsid w:val="007E28A4"/>
    <w:rsid w:val="007F544E"/>
    <w:rsid w:val="007F55F8"/>
    <w:rsid w:val="007F6DD3"/>
    <w:rsid w:val="008176DD"/>
    <w:rsid w:val="00822349"/>
    <w:rsid w:val="00833753"/>
    <w:rsid w:val="00834B6C"/>
    <w:rsid w:val="00840188"/>
    <w:rsid w:val="0084207A"/>
    <w:rsid w:val="0085627A"/>
    <w:rsid w:val="008A290B"/>
    <w:rsid w:val="008A3273"/>
    <w:rsid w:val="008C7E6D"/>
    <w:rsid w:val="008E1A32"/>
    <w:rsid w:val="008E50D9"/>
    <w:rsid w:val="009037FA"/>
    <w:rsid w:val="00910B15"/>
    <w:rsid w:val="0091557F"/>
    <w:rsid w:val="00924BA0"/>
    <w:rsid w:val="00941F60"/>
    <w:rsid w:val="00945EAE"/>
    <w:rsid w:val="00956E58"/>
    <w:rsid w:val="00972449"/>
    <w:rsid w:val="00974DFE"/>
    <w:rsid w:val="009807A5"/>
    <w:rsid w:val="00985D9E"/>
    <w:rsid w:val="009906E4"/>
    <w:rsid w:val="00990AF3"/>
    <w:rsid w:val="00992AB1"/>
    <w:rsid w:val="0099642A"/>
    <w:rsid w:val="009B0006"/>
    <w:rsid w:val="009C18F0"/>
    <w:rsid w:val="009C54F0"/>
    <w:rsid w:val="009C5F8B"/>
    <w:rsid w:val="009D66F0"/>
    <w:rsid w:val="009E2B5E"/>
    <w:rsid w:val="009E62AF"/>
    <w:rsid w:val="009E681A"/>
    <w:rsid w:val="00A0243C"/>
    <w:rsid w:val="00A07C5B"/>
    <w:rsid w:val="00A11A9A"/>
    <w:rsid w:val="00A81690"/>
    <w:rsid w:val="00A8346B"/>
    <w:rsid w:val="00A87AD2"/>
    <w:rsid w:val="00A9230D"/>
    <w:rsid w:val="00A92705"/>
    <w:rsid w:val="00A97C89"/>
    <w:rsid w:val="00AC72AC"/>
    <w:rsid w:val="00AD0A73"/>
    <w:rsid w:val="00AD16BB"/>
    <w:rsid w:val="00AF1F2B"/>
    <w:rsid w:val="00B00EBD"/>
    <w:rsid w:val="00B3006A"/>
    <w:rsid w:val="00B36E61"/>
    <w:rsid w:val="00B779F9"/>
    <w:rsid w:val="00B86061"/>
    <w:rsid w:val="00B924C3"/>
    <w:rsid w:val="00B925A6"/>
    <w:rsid w:val="00B92E72"/>
    <w:rsid w:val="00BA6D75"/>
    <w:rsid w:val="00BC6441"/>
    <w:rsid w:val="00BF0068"/>
    <w:rsid w:val="00C03EBA"/>
    <w:rsid w:val="00C0787C"/>
    <w:rsid w:val="00C4608A"/>
    <w:rsid w:val="00C46BB1"/>
    <w:rsid w:val="00C470D3"/>
    <w:rsid w:val="00C51540"/>
    <w:rsid w:val="00C55FAB"/>
    <w:rsid w:val="00C80342"/>
    <w:rsid w:val="00CB522E"/>
    <w:rsid w:val="00D00BCD"/>
    <w:rsid w:val="00D05B68"/>
    <w:rsid w:val="00D12ECE"/>
    <w:rsid w:val="00D13E64"/>
    <w:rsid w:val="00D451D5"/>
    <w:rsid w:val="00D83CC5"/>
    <w:rsid w:val="00DA3A45"/>
    <w:rsid w:val="00DA3EB1"/>
    <w:rsid w:val="00DB3F96"/>
    <w:rsid w:val="00DC4992"/>
    <w:rsid w:val="00DC6E16"/>
    <w:rsid w:val="00DD20E1"/>
    <w:rsid w:val="00DE0FD0"/>
    <w:rsid w:val="00DE3712"/>
    <w:rsid w:val="00DF3BED"/>
    <w:rsid w:val="00DF5928"/>
    <w:rsid w:val="00E01E2C"/>
    <w:rsid w:val="00E0260F"/>
    <w:rsid w:val="00E1595F"/>
    <w:rsid w:val="00E200DC"/>
    <w:rsid w:val="00E467E2"/>
    <w:rsid w:val="00E50331"/>
    <w:rsid w:val="00E54DED"/>
    <w:rsid w:val="00E57EE7"/>
    <w:rsid w:val="00E6120B"/>
    <w:rsid w:val="00E7175E"/>
    <w:rsid w:val="00E771E5"/>
    <w:rsid w:val="00EB1048"/>
    <w:rsid w:val="00EE6141"/>
    <w:rsid w:val="00EF5BB6"/>
    <w:rsid w:val="00F13939"/>
    <w:rsid w:val="00F13EA0"/>
    <w:rsid w:val="00F214B0"/>
    <w:rsid w:val="00F3255F"/>
    <w:rsid w:val="00F467E7"/>
    <w:rsid w:val="00F46F3F"/>
    <w:rsid w:val="00F53364"/>
    <w:rsid w:val="00F550BC"/>
    <w:rsid w:val="00F75C0E"/>
    <w:rsid w:val="00F841AE"/>
    <w:rsid w:val="00F94BD6"/>
    <w:rsid w:val="00F97D62"/>
    <w:rsid w:val="00FD106D"/>
    <w:rsid w:val="00FD2E2B"/>
    <w:rsid w:val="00FD609B"/>
    <w:rsid w:val="00FE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DCCA4"/>
  <w15:chartTrackingRefBased/>
  <w15:docId w15:val="{0F0E9DE7-B223-46C4-8C1B-8D6D8563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0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07E"/>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1048"/>
    <w:rPr>
      <w:i/>
      <w:iCs/>
      <w:color w:val="4472C4" w:themeColor="accent1"/>
    </w:rPr>
  </w:style>
  <w:style w:type="paragraph" w:styleId="BalloonText">
    <w:name w:val="Balloon Text"/>
    <w:basedOn w:val="Normal"/>
    <w:link w:val="BalloonTextChar"/>
    <w:uiPriority w:val="99"/>
    <w:semiHidden/>
    <w:unhideWhenUsed/>
    <w:rsid w:val="00FE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23"/>
    <w:rPr>
      <w:rFonts w:ascii="Segoe UI" w:hAnsi="Segoe UI" w:cs="Segoe UI"/>
      <w:sz w:val="18"/>
      <w:szCs w:val="18"/>
    </w:rPr>
  </w:style>
  <w:style w:type="character" w:customStyle="1" w:styleId="text1">
    <w:name w:val="text1"/>
    <w:basedOn w:val="DefaultParagraphFont"/>
    <w:rsid w:val="00E1595F"/>
    <w:rPr>
      <w:rFonts w:ascii="Arial" w:hAnsi="Arial" w:cs="Arial" w:hint="default"/>
    </w:rPr>
  </w:style>
  <w:style w:type="paragraph" w:styleId="NormalWeb">
    <w:name w:val="Normal (Web)"/>
    <w:basedOn w:val="Normal"/>
    <w:uiPriority w:val="99"/>
    <w:semiHidden/>
    <w:unhideWhenUsed/>
    <w:rsid w:val="00B924C3"/>
    <w:pPr>
      <w:spacing w:after="0" w:line="240" w:lineRule="auto"/>
    </w:pPr>
    <w:rPr>
      <w:rFonts w:ascii="Calibri" w:eastAsia="Calibri" w:hAnsi="Calibri" w:cs="Calibri"/>
      <w:lang w:eastAsia="en-GB"/>
    </w:rPr>
  </w:style>
  <w:style w:type="paragraph" w:styleId="Header">
    <w:name w:val="header"/>
    <w:basedOn w:val="Normal"/>
    <w:link w:val="HeaderChar"/>
    <w:uiPriority w:val="99"/>
    <w:unhideWhenUsed/>
    <w:rsid w:val="00AD1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6BB"/>
  </w:style>
  <w:style w:type="paragraph" w:styleId="Footer">
    <w:name w:val="footer"/>
    <w:basedOn w:val="Normal"/>
    <w:link w:val="FooterChar"/>
    <w:uiPriority w:val="99"/>
    <w:unhideWhenUsed/>
    <w:rsid w:val="00AD1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6BB"/>
  </w:style>
  <w:style w:type="paragraph" w:customStyle="1" w:styleId="ContactInformation">
    <w:name w:val="Contact Information"/>
    <w:basedOn w:val="Normal"/>
    <w:uiPriority w:val="2"/>
    <w:qFormat/>
    <w:rsid w:val="009C5F8B"/>
    <w:pPr>
      <w:spacing w:after="920" w:line="360" w:lineRule="auto"/>
      <w:contextualSpacing/>
    </w:pPr>
    <w:rPr>
      <w:color w:val="44546A" w:themeColor="text2"/>
      <w:lang w:val="en-US" w:eastAsia="ja-JP"/>
    </w:rPr>
  </w:style>
  <w:style w:type="character" w:styleId="Hyperlink">
    <w:name w:val="Hyperlink"/>
    <w:basedOn w:val="DefaultParagraphFont"/>
    <w:uiPriority w:val="99"/>
    <w:unhideWhenUsed/>
    <w:rsid w:val="001E5413"/>
    <w:rPr>
      <w:color w:val="0563C1" w:themeColor="hyperlink"/>
      <w:u w:val="single"/>
    </w:rPr>
  </w:style>
  <w:style w:type="character" w:styleId="UnresolvedMention">
    <w:name w:val="Unresolved Mention"/>
    <w:basedOn w:val="DefaultParagraphFont"/>
    <w:uiPriority w:val="99"/>
    <w:semiHidden/>
    <w:unhideWhenUsed/>
    <w:rsid w:val="001E5413"/>
    <w:rPr>
      <w:color w:val="605E5C"/>
      <w:shd w:val="clear" w:color="auto" w:fill="E1DFDD"/>
    </w:rPr>
  </w:style>
  <w:style w:type="paragraph" w:styleId="ListParagraph">
    <w:name w:val="List Paragraph"/>
    <w:basedOn w:val="Normal"/>
    <w:uiPriority w:val="34"/>
    <w:qFormat/>
    <w:rsid w:val="00206EE3"/>
    <w:pPr>
      <w:ind w:left="720"/>
      <w:contextualSpacing/>
    </w:pPr>
  </w:style>
  <w:style w:type="character" w:styleId="Strong">
    <w:name w:val="Strong"/>
    <w:basedOn w:val="DefaultParagraphFont"/>
    <w:uiPriority w:val="22"/>
    <w:qFormat/>
    <w:rsid w:val="00EE6141"/>
    <w:rPr>
      <w:b/>
      <w:bCs/>
    </w:rPr>
  </w:style>
  <w:style w:type="table" w:styleId="TableGrid">
    <w:name w:val="Table Grid"/>
    <w:basedOn w:val="TableNormal"/>
    <w:uiPriority w:val="39"/>
    <w:rsid w:val="00F1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E5617"/>
    <w:pPr>
      <w:spacing w:before="100" w:beforeAutospacing="1" w:after="100" w:afterAutospacing="1" w:line="240" w:lineRule="auto"/>
    </w:pPr>
    <w:rPr>
      <w:rFonts w:ascii="Calibri" w:hAnsi="Calibri" w:cs="Times New Roman"/>
      <w:lang w:eastAsia="en-GB"/>
    </w:rPr>
  </w:style>
  <w:style w:type="character" w:customStyle="1" w:styleId="normaltextrun">
    <w:name w:val="normaltextrun"/>
    <w:basedOn w:val="DefaultParagraphFont"/>
    <w:rsid w:val="001E5617"/>
  </w:style>
  <w:style w:type="character" w:customStyle="1" w:styleId="eop">
    <w:name w:val="eop"/>
    <w:basedOn w:val="DefaultParagraphFont"/>
    <w:rsid w:val="001E5617"/>
  </w:style>
  <w:style w:type="character" w:customStyle="1" w:styleId="scxw253919851">
    <w:name w:val="scxw253919851"/>
    <w:basedOn w:val="DefaultParagraphFont"/>
    <w:rsid w:val="001E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5918">
      <w:bodyDiv w:val="1"/>
      <w:marLeft w:val="0"/>
      <w:marRight w:val="0"/>
      <w:marTop w:val="0"/>
      <w:marBottom w:val="0"/>
      <w:divBdr>
        <w:top w:val="none" w:sz="0" w:space="0" w:color="auto"/>
        <w:left w:val="none" w:sz="0" w:space="0" w:color="auto"/>
        <w:bottom w:val="none" w:sz="0" w:space="0" w:color="auto"/>
        <w:right w:val="none" w:sz="0" w:space="0" w:color="auto"/>
      </w:divBdr>
    </w:div>
    <w:div w:id="232931061">
      <w:bodyDiv w:val="1"/>
      <w:marLeft w:val="0"/>
      <w:marRight w:val="0"/>
      <w:marTop w:val="0"/>
      <w:marBottom w:val="0"/>
      <w:divBdr>
        <w:top w:val="none" w:sz="0" w:space="0" w:color="auto"/>
        <w:left w:val="none" w:sz="0" w:space="0" w:color="auto"/>
        <w:bottom w:val="none" w:sz="0" w:space="0" w:color="auto"/>
        <w:right w:val="none" w:sz="0" w:space="0" w:color="auto"/>
      </w:divBdr>
    </w:div>
    <w:div w:id="521018243">
      <w:bodyDiv w:val="1"/>
      <w:marLeft w:val="0"/>
      <w:marRight w:val="0"/>
      <w:marTop w:val="0"/>
      <w:marBottom w:val="0"/>
      <w:divBdr>
        <w:top w:val="none" w:sz="0" w:space="0" w:color="auto"/>
        <w:left w:val="none" w:sz="0" w:space="0" w:color="auto"/>
        <w:bottom w:val="none" w:sz="0" w:space="0" w:color="auto"/>
        <w:right w:val="none" w:sz="0" w:space="0" w:color="auto"/>
      </w:divBdr>
    </w:div>
    <w:div w:id="1679114571">
      <w:bodyDiv w:val="1"/>
      <w:marLeft w:val="0"/>
      <w:marRight w:val="0"/>
      <w:marTop w:val="0"/>
      <w:marBottom w:val="0"/>
      <w:divBdr>
        <w:top w:val="none" w:sz="0" w:space="0" w:color="auto"/>
        <w:left w:val="none" w:sz="0" w:space="0" w:color="auto"/>
        <w:bottom w:val="none" w:sz="0" w:space="0" w:color="auto"/>
        <w:right w:val="none" w:sz="0" w:space="0" w:color="auto"/>
      </w:divBdr>
    </w:div>
    <w:div w:id="2102216792">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61B84E16B7147AB480657A258623B" ma:contentTypeVersion="12" ma:contentTypeDescription="Create a new document." ma:contentTypeScope="" ma:versionID="26ff3ddf7a061c2c03a17d6eb342bc15">
  <xsd:schema xmlns:xsd="http://www.w3.org/2001/XMLSchema" xmlns:xs="http://www.w3.org/2001/XMLSchema" xmlns:p="http://schemas.microsoft.com/office/2006/metadata/properties" xmlns:ns2="2ff414bb-d31b-43ff-b151-be06e499ca98" xmlns:ns3="f2f0b7fe-70c9-4910-adc0-34dcde99a329" targetNamespace="http://schemas.microsoft.com/office/2006/metadata/properties" ma:root="true" ma:fieldsID="003898d1640a904685d7c9d8540de6e1" ns2:_="" ns3:_="">
    <xsd:import namespace="2ff414bb-d31b-43ff-b151-be06e499ca98"/>
    <xsd:import namespace="f2f0b7fe-70c9-4910-adc0-34dcde99a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414bb-d31b-43ff-b151-be06e499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0b7fe-70c9-4910-adc0-34dcde99a3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F314-15CD-4ACA-80E2-597ED3E6C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B1467-6D7F-47F5-BDEC-33D0AE2E5D31}">
  <ds:schemaRefs>
    <ds:schemaRef ds:uri="http://schemas.microsoft.com/sharepoint/v3/contenttype/forms"/>
  </ds:schemaRefs>
</ds:datastoreItem>
</file>

<file path=customXml/itemProps3.xml><?xml version="1.0" encoding="utf-8"?>
<ds:datastoreItem xmlns:ds="http://schemas.openxmlformats.org/officeDocument/2006/customXml" ds:itemID="{A4F88FF7-4094-4F5B-ABE1-8B5748DE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414bb-d31b-43ff-b151-be06e499ca98"/>
    <ds:schemaRef ds:uri="f2f0b7fe-70c9-4910-adc0-34dcde99a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Turner</dc:creator>
  <cp:keywords/>
  <dc:description/>
  <cp:lastModifiedBy>Angela Beanlands</cp:lastModifiedBy>
  <cp:revision>3</cp:revision>
  <cp:lastPrinted>2021-03-19T13:33:00Z</cp:lastPrinted>
  <dcterms:created xsi:type="dcterms:W3CDTF">2021-04-22T14:37:00Z</dcterms:created>
  <dcterms:modified xsi:type="dcterms:W3CDTF">2021-04-22T15:03:00Z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0x01010006F61B84E16B7147AB480657A258623B</vt:lpwstr>
  </property>
</Properties>
</file>